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2DB2" w14:textId="50291F4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0D780559" w14:textId="77777777" w:rsidR="0039208B" w:rsidRPr="00D7380E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PIANO NAZIONALE DI RIPRESA E RESILIENZA (PNRR)</w:t>
      </w:r>
    </w:p>
    <w:p w14:paraId="5071E85E" w14:textId="77777777" w:rsidR="0039208B" w:rsidRPr="00D7380E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MISSIONE 4 “Istruzione e Ricerca” COMPONENTE 2 “Dalla ricerca all’impresa”</w:t>
      </w:r>
    </w:p>
    <w:p w14:paraId="3CEC5177" w14:textId="77777777" w:rsidR="0039208B" w:rsidRPr="00D7380E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INVESTIMENTO 1.3 “PARTENARIATI ESTESI”</w:t>
      </w:r>
    </w:p>
    <w:p w14:paraId="50FE0A9C" w14:textId="77777777" w:rsidR="0039208B" w:rsidRPr="00D7380E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 xml:space="preserve">Finanziato dall’Unione Europea - </w:t>
      </w:r>
      <w:proofErr w:type="spellStart"/>
      <w:r w:rsidRPr="00D7380E">
        <w:rPr>
          <w:rFonts w:ascii="Titillium Web" w:hAnsi="Titillium Web" w:cs="Titillium Web,Bold"/>
          <w:b/>
          <w:bCs/>
        </w:rPr>
        <w:t>NexGenerationEU</w:t>
      </w:r>
      <w:proofErr w:type="spellEnd"/>
    </w:p>
    <w:p w14:paraId="3CE9EE58" w14:textId="77777777" w:rsidR="0039208B" w:rsidRPr="005E2898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  <w:lang w:val="en-US"/>
        </w:rPr>
      </w:pPr>
      <w:proofErr w:type="spellStart"/>
      <w:r w:rsidRPr="005E2898">
        <w:rPr>
          <w:rFonts w:ascii="Titillium Web" w:hAnsi="Titillium Web" w:cs="Titillium Web,Bold"/>
          <w:b/>
          <w:bCs/>
          <w:lang w:val="en-US"/>
        </w:rPr>
        <w:t>Partenariato</w:t>
      </w:r>
      <w:proofErr w:type="spellEnd"/>
      <w:r w:rsidRPr="005E2898">
        <w:rPr>
          <w:rFonts w:ascii="Titillium Web" w:hAnsi="Titillium Web" w:cs="Titillium Web,Bold"/>
          <w:b/>
          <w:bCs/>
          <w:lang w:val="en-US"/>
        </w:rPr>
        <w:t xml:space="preserve"> </w:t>
      </w:r>
      <w:proofErr w:type="spellStart"/>
      <w:r w:rsidRPr="005E2898">
        <w:rPr>
          <w:rFonts w:ascii="Titillium Web" w:hAnsi="Titillium Web" w:cs="Titillium Web,Bold"/>
          <w:b/>
          <w:bCs/>
          <w:lang w:val="en-US"/>
        </w:rPr>
        <w:t>Esteso</w:t>
      </w:r>
      <w:proofErr w:type="spellEnd"/>
      <w:r w:rsidRPr="005E2898">
        <w:rPr>
          <w:rFonts w:ascii="Titillium Web" w:hAnsi="Titillium Web" w:cs="Titillium Web,Bold"/>
          <w:b/>
          <w:bCs/>
          <w:lang w:val="en-US"/>
        </w:rPr>
        <w:t xml:space="preserve"> INF-ACT - One Health Basic and Translational Research Actions</w:t>
      </w:r>
    </w:p>
    <w:p w14:paraId="7569807B" w14:textId="77777777" w:rsidR="0039208B" w:rsidRPr="005E2898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  <w:lang w:val="en-US"/>
        </w:rPr>
      </w:pPr>
      <w:r w:rsidRPr="005E2898">
        <w:rPr>
          <w:rFonts w:ascii="Titillium Web" w:hAnsi="Titillium Web" w:cs="Titillium Web,Bold"/>
          <w:b/>
          <w:bCs/>
          <w:lang w:val="en-US"/>
        </w:rPr>
        <w:t>Addressing Unmet</w:t>
      </w:r>
    </w:p>
    <w:p w14:paraId="6B72D8B4" w14:textId="77777777" w:rsidR="0039208B" w:rsidRPr="005E2898" w:rsidRDefault="0039208B" w:rsidP="0039208B">
      <w:pPr>
        <w:autoSpaceDE w:val="0"/>
        <w:autoSpaceDN w:val="0"/>
        <w:adjustRightInd w:val="0"/>
        <w:jc w:val="center"/>
        <w:rPr>
          <w:rFonts w:ascii="Titillium Web" w:hAnsi="Titillium Web" w:cs="Titillium Web,Bold"/>
          <w:b/>
          <w:bCs/>
          <w:lang w:val="en-US"/>
        </w:rPr>
      </w:pPr>
      <w:r w:rsidRPr="005E2898">
        <w:rPr>
          <w:rFonts w:ascii="Titillium Web" w:hAnsi="Titillium Web" w:cs="Titillium Web,Bold"/>
          <w:b/>
          <w:bCs/>
          <w:lang w:val="en-US"/>
        </w:rPr>
        <w:t>Needs on Emerging Infectious Diseases</w:t>
      </w:r>
    </w:p>
    <w:p w14:paraId="2FF0727E" w14:textId="77777777" w:rsidR="0039208B" w:rsidRPr="00D7380E" w:rsidRDefault="0039208B" w:rsidP="0039208B">
      <w:pPr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Codice progetto MUR: PE00000007 - CUP UNINA: E63C22002020007</w:t>
      </w:r>
    </w:p>
    <w:p w14:paraId="17798E74" w14:textId="77777777" w:rsidR="0056278F" w:rsidRPr="00D7556E" w:rsidRDefault="0056278F" w:rsidP="00F6227E">
      <w:pPr>
        <w:tabs>
          <w:tab w:val="left" w:pos="8136"/>
        </w:tabs>
        <w:jc w:val="center"/>
        <w:rPr>
          <w:rFonts w:ascii="Titillium Web" w:hAnsi="Titillium Web" w:cs="Calibri"/>
          <w:bCs/>
          <w:sz w:val="22"/>
          <w:szCs w:val="22"/>
        </w:rPr>
      </w:pP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40821889" w14:textId="77777777" w:rsidR="009F5E2D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0AECF86D" w14:textId="59F424C6" w:rsidR="0056278F" w:rsidRPr="009F5E2D" w:rsidRDefault="009F5E2D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28"/>
          <w:szCs w:val="28"/>
        </w:rPr>
      </w:pPr>
      <w:r w:rsidRPr="009F5E2D">
        <w:rPr>
          <w:rFonts w:ascii="Titillium Web" w:hAnsi="Titillium Web"/>
          <w:b/>
          <w:bCs/>
          <w:iCs/>
          <w:sz w:val="28"/>
          <w:szCs w:val="28"/>
        </w:rPr>
        <w:t xml:space="preserve">Avviso di consultazione preliminare di mercato ex art. 77 del d.lgs. n. 36/2023 per l’intervento relativo alla fornitura di un “Analizzatore Cellulare Spettrale”  </w:t>
      </w:r>
    </w:p>
    <w:p w14:paraId="162E153F" w14:textId="77777777" w:rsidR="009F5E2D" w:rsidRPr="00D7556E" w:rsidRDefault="009F5E2D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</w:p>
    <w:p w14:paraId="50267EF8" w14:textId="02C3E7DB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  <w:r w:rsidRPr="00D7556E">
        <w:rPr>
          <w:rFonts w:ascii="Titillium Web" w:hAnsi="Titillium Web" w:cs="Tahoma"/>
        </w:rPr>
        <w:t>Il sottoscritto _______________________________________[indicare generalità],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partecipante (di seguito</w:t>
      </w:r>
      <w:r w:rsidR="000262B2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 xml:space="preserve">“Concorrente”) alla consultazione preliminare di mercato, ai sensi dell’art </w:t>
      </w:r>
      <w:r w:rsidR="007513B8" w:rsidRPr="00D7556E">
        <w:rPr>
          <w:rFonts w:ascii="Titillium Web" w:hAnsi="Titillium Web" w:cs="Tahoma"/>
        </w:rPr>
        <w:t>77</w:t>
      </w:r>
      <w:r w:rsidRPr="00D7556E">
        <w:rPr>
          <w:rFonts w:ascii="Titillium Web" w:hAnsi="Titillium Web" w:cs="Tahoma"/>
        </w:rPr>
        <w:t xml:space="preserve"> del d.lgs. </w:t>
      </w:r>
      <w:r w:rsidR="007513B8" w:rsidRPr="00D7556E">
        <w:rPr>
          <w:rFonts w:ascii="Titillium Web" w:hAnsi="Titillium Web" w:cs="Tahoma"/>
        </w:rPr>
        <w:t>3</w:t>
      </w:r>
      <w:r w:rsidR="00D8158D" w:rsidRPr="00D7556E">
        <w:rPr>
          <w:rFonts w:ascii="Titillium Web" w:hAnsi="Titillium Web" w:cs="Tahoma"/>
        </w:rPr>
        <w:t>6</w:t>
      </w:r>
      <w:r w:rsidRPr="00D7556E">
        <w:rPr>
          <w:rFonts w:ascii="Titillium Web" w:hAnsi="Titillium Web" w:cs="Tahoma"/>
        </w:rPr>
        <w:t>/20</w:t>
      </w:r>
      <w:r w:rsidR="007513B8" w:rsidRPr="00D7556E">
        <w:rPr>
          <w:rFonts w:ascii="Titillium Web" w:hAnsi="Titillium Web" w:cs="Tahoma"/>
        </w:rPr>
        <w:t>23</w:t>
      </w:r>
      <w:r w:rsidRPr="00D7556E">
        <w:rPr>
          <w:rFonts w:ascii="Titillium Web" w:hAnsi="Titillium Web" w:cs="Tahoma"/>
        </w:rPr>
        <w:t xml:space="preserve">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per la verifica di operatori economici che dispongano del know-how e dell’organizzazione aziendale e tecnica idonea ad effettuare la </w:t>
      </w:r>
      <w:r w:rsidR="00357017" w:rsidRPr="00357017">
        <w:rPr>
          <w:rFonts w:ascii="Titillium Web" w:hAnsi="Titillium Web" w:cs="Tahoma"/>
        </w:rPr>
        <w:t xml:space="preserve"> fornitura di un </w:t>
      </w:r>
      <w:r w:rsidR="009F5E2D" w:rsidRPr="009F5E2D">
        <w:rPr>
          <w:rFonts w:ascii="Titillium Web" w:hAnsi="Titillium Web" w:cs="Tahoma"/>
        </w:rPr>
        <w:t xml:space="preserve">“Analizzatore Cellulare Spettrale” per svolgere in maniera adeguata e all’avanguardia la ricerca scientifica oggetto del progetto "Partenariato Esteso INF-ACT - One Health Basic and </w:t>
      </w:r>
      <w:proofErr w:type="spellStart"/>
      <w:r w:rsidR="009F5E2D" w:rsidRPr="009F5E2D">
        <w:rPr>
          <w:rFonts w:ascii="Titillium Web" w:hAnsi="Titillium Web" w:cs="Tahoma"/>
        </w:rPr>
        <w:t>Translational</w:t>
      </w:r>
      <w:proofErr w:type="spellEnd"/>
      <w:r w:rsidR="009F5E2D" w:rsidRPr="009F5E2D">
        <w:rPr>
          <w:rFonts w:ascii="Titillium Web" w:hAnsi="Titillium Web" w:cs="Tahoma"/>
        </w:rPr>
        <w:t xml:space="preserve"> </w:t>
      </w:r>
      <w:proofErr w:type="spellStart"/>
      <w:r w:rsidR="009F5E2D" w:rsidRPr="009F5E2D">
        <w:rPr>
          <w:rFonts w:ascii="Titillium Web" w:hAnsi="Titillium Web" w:cs="Tahoma"/>
        </w:rPr>
        <w:t>Research</w:t>
      </w:r>
      <w:proofErr w:type="spellEnd"/>
      <w:r w:rsidR="009F5E2D" w:rsidRPr="009F5E2D">
        <w:rPr>
          <w:rFonts w:ascii="Titillium Web" w:hAnsi="Titillium Web" w:cs="Tahoma"/>
        </w:rPr>
        <w:t xml:space="preserve"> Actions </w:t>
      </w:r>
      <w:proofErr w:type="spellStart"/>
      <w:r w:rsidR="009F5E2D" w:rsidRPr="009F5E2D">
        <w:rPr>
          <w:rFonts w:ascii="Titillium Web" w:hAnsi="Titillium Web" w:cs="Tahoma"/>
        </w:rPr>
        <w:t>Addressing</w:t>
      </w:r>
      <w:proofErr w:type="spellEnd"/>
      <w:r w:rsidR="009F5E2D" w:rsidRPr="009F5E2D">
        <w:rPr>
          <w:rFonts w:ascii="Titillium Web" w:hAnsi="Titillium Web" w:cs="Tahoma"/>
        </w:rPr>
        <w:t xml:space="preserve"> </w:t>
      </w:r>
      <w:proofErr w:type="spellStart"/>
      <w:r w:rsidR="009F5E2D" w:rsidRPr="009F5E2D">
        <w:rPr>
          <w:rFonts w:ascii="Titillium Web" w:hAnsi="Titillium Web" w:cs="Tahoma"/>
        </w:rPr>
        <w:t>Unmet</w:t>
      </w:r>
      <w:proofErr w:type="spellEnd"/>
      <w:r w:rsidR="009F5E2D" w:rsidRPr="009F5E2D">
        <w:rPr>
          <w:rFonts w:ascii="Titillium Web" w:hAnsi="Titillium Web" w:cs="Tahoma"/>
        </w:rPr>
        <w:t xml:space="preserve"> </w:t>
      </w:r>
      <w:proofErr w:type="spellStart"/>
      <w:r w:rsidR="009F5E2D" w:rsidRPr="009F5E2D">
        <w:rPr>
          <w:rFonts w:ascii="Titillium Web" w:hAnsi="Titillium Web" w:cs="Tahoma"/>
        </w:rPr>
        <w:t>Needs</w:t>
      </w:r>
      <w:proofErr w:type="spellEnd"/>
      <w:r w:rsidR="009F5E2D" w:rsidRPr="009F5E2D">
        <w:rPr>
          <w:rFonts w:ascii="Titillium Web" w:hAnsi="Titillium Web" w:cs="Tahoma"/>
        </w:rPr>
        <w:t xml:space="preserve"> on </w:t>
      </w:r>
      <w:proofErr w:type="spellStart"/>
      <w:r w:rsidR="009F5E2D" w:rsidRPr="009F5E2D">
        <w:rPr>
          <w:rFonts w:ascii="Titillium Web" w:hAnsi="Titillium Web" w:cs="Tahoma"/>
        </w:rPr>
        <w:t>Emerging</w:t>
      </w:r>
      <w:proofErr w:type="spellEnd"/>
      <w:r w:rsidR="009F5E2D" w:rsidRPr="009F5E2D">
        <w:rPr>
          <w:rFonts w:ascii="Titillium Web" w:hAnsi="Titillium Web" w:cs="Tahoma"/>
        </w:rPr>
        <w:t xml:space="preserve"> </w:t>
      </w:r>
      <w:proofErr w:type="spellStart"/>
      <w:r w:rsidR="009F5E2D" w:rsidRPr="009F5E2D">
        <w:rPr>
          <w:rFonts w:ascii="Titillium Web" w:hAnsi="Titillium Web" w:cs="Tahoma"/>
        </w:rPr>
        <w:t>Infectious</w:t>
      </w:r>
      <w:proofErr w:type="spellEnd"/>
      <w:r w:rsidR="009F5E2D" w:rsidRPr="009F5E2D">
        <w:rPr>
          <w:rFonts w:ascii="Titillium Web" w:hAnsi="Titillium Web" w:cs="Tahoma"/>
        </w:rPr>
        <w:t xml:space="preserve"> </w:t>
      </w:r>
      <w:proofErr w:type="spellStart"/>
      <w:r w:rsidR="009F5E2D" w:rsidRPr="009F5E2D">
        <w:rPr>
          <w:rFonts w:ascii="Titillium Web" w:hAnsi="Titillium Web" w:cs="Tahoma"/>
        </w:rPr>
        <w:t>Diseases</w:t>
      </w:r>
      <w:proofErr w:type="spellEnd"/>
      <w:r w:rsidR="009F5E2D" w:rsidRPr="009F5E2D">
        <w:rPr>
          <w:rFonts w:ascii="Titillium Web" w:hAnsi="Titillium Web" w:cs="Tahoma"/>
        </w:rPr>
        <w:t>" Codice progetto MUR: PE00000007 - CUP UNINA: E63C22002020007</w:t>
      </w:r>
    </w:p>
    <w:p w14:paraId="24FFF619" w14:textId="77777777" w:rsidR="000262B2" w:rsidRPr="00D7556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considerato che: </w:t>
      </w:r>
    </w:p>
    <w:p w14:paraId="4E27C2DE" w14:textId="05ED5842" w:rsidR="0039208B" w:rsidRPr="000505A4" w:rsidRDefault="00B250E1" w:rsidP="0039208B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- con decreto MUR </w:t>
      </w:r>
      <w:r w:rsidR="00455E12" w:rsidRPr="000505A4">
        <w:rPr>
          <w:rFonts w:ascii="Titillium Web" w:hAnsi="Titillium Web" w:cs="Tahoma"/>
        </w:rPr>
        <w:t xml:space="preserve">n. </w:t>
      </w:r>
      <w:r w:rsidR="0039208B" w:rsidRPr="000505A4">
        <w:rPr>
          <w:rFonts w:ascii="Titillium Web" w:hAnsi="Titillium Web" w:cs="Tahoma"/>
        </w:rPr>
        <w:t xml:space="preserve">1243 del 02-08-2022 </w:t>
      </w:r>
      <w:r w:rsidRPr="000505A4">
        <w:rPr>
          <w:rFonts w:ascii="Titillium Web" w:hAnsi="Titillium Web" w:cs="Tahoma"/>
        </w:rPr>
        <w:t xml:space="preserve">è stato emanato l’Avviso pubblico </w:t>
      </w:r>
      <w:r w:rsidR="0039208B" w:rsidRPr="000505A4">
        <w:rPr>
          <w:rFonts w:ascii="Titillium Web" w:hAnsi="Titillium Web" w:cs="Tahoma"/>
        </w:rPr>
        <w:t xml:space="preserve">per la creazione di “Partenariati estesi alle università, ai centri di ricerca, alle aziende per il finanziamento di progetti di ricerca di base” </w:t>
      </w:r>
      <w:r w:rsidR="00455E12" w:rsidRPr="000505A4">
        <w:rPr>
          <w:rFonts w:ascii="Titillium Web" w:hAnsi="Titillium Web" w:cs="Tahoma"/>
        </w:rPr>
        <w:t xml:space="preserve">da finanziare nell’ambito del PNRR Missione 4, “Istruzione e ricerca” - Componente 2, “Dalla ricerca all’impresa” - Linea di investimento </w:t>
      </w:r>
      <w:r w:rsidR="0039208B" w:rsidRPr="000505A4">
        <w:rPr>
          <w:rFonts w:ascii="Titillium Web" w:hAnsi="Titillium Web" w:cs="Tahoma"/>
        </w:rPr>
        <w:t>1.3</w:t>
      </w:r>
      <w:r w:rsidR="00455E12" w:rsidRPr="000505A4">
        <w:rPr>
          <w:rFonts w:ascii="Titillium Web" w:hAnsi="Titillium Web" w:cs="Tahoma"/>
        </w:rPr>
        <w:t>, “</w:t>
      </w:r>
      <w:r w:rsidR="0039208B" w:rsidRPr="000505A4">
        <w:rPr>
          <w:rFonts w:ascii="Titillium Web" w:hAnsi="Titillium Web" w:cs="Tahoma"/>
        </w:rPr>
        <w:t>PARTENARIATI ESTESI”</w:t>
      </w:r>
    </w:p>
    <w:p w14:paraId="482471BD" w14:textId="666B9869" w:rsidR="00455E12" w:rsidRPr="000505A4" w:rsidRDefault="0039208B" w:rsidP="0039208B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Finanziato dall’Unione Europea - </w:t>
      </w:r>
      <w:proofErr w:type="spellStart"/>
      <w:r w:rsidRPr="000505A4">
        <w:rPr>
          <w:rFonts w:ascii="Titillium Web" w:hAnsi="Titillium Web" w:cs="Tahoma"/>
        </w:rPr>
        <w:t>NexGenerationEU</w:t>
      </w:r>
      <w:proofErr w:type="spellEnd"/>
      <w:r w:rsidR="00455E12" w:rsidRPr="000505A4">
        <w:rPr>
          <w:rFonts w:ascii="Titillium Web" w:hAnsi="Titillium Web" w:cs="Tahoma"/>
        </w:rPr>
        <w:t>;</w:t>
      </w:r>
    </w:p>
    <w:p w14:paraId="0E2481F6" w14:textId="77777777" w:rsidR="00544A1B" w:rsidRDefault="00A3666E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- </w:t>
      </w:r>
      <w:r w:rsidR="006B6EB9" w:rsidRPr="000505A4">
        <w:rPr>
          <w:rFonts w:ascii="Titillium Web" w:hAnsi="Titillium Web" w:cs="Tahoma"/>
        </w:rPr>
        <w:t xml:space="preserve">in risposta al </w:t>
      </w:r>
      <w:proofErr w:type="gramStart"/>
      <w:r w:rsidR="006B6EB9" w:rsidRPr="000505A4">
        <w:rPr>
          <w:rFonts w:ascii="Titillium Web" w:hAnsi="Titillium Web" w:cs="Tahoma"/>
        </w:rPr>
        <w:t>predetto</w:t>
      </w:r>
      <w:proofErr w:type="gramEnd"/>
      <w:r w:rsidR="006B6EB9" w:rsidRPr="000505A4">
        <w:rPr>
          <w:rFonts w:ascii="Titillium Web" w:hAnsi="Titillium Web" w:cs="Tahoma"/>
        </w:rPr>
        <w:t xml:space="preserve"> Avviso pubblico, l’Ateneo ha partecipato come partner alla proposta </w:t>
      </w:r>
      <w:r w:rsidR="000505A4" w:rsidRPr="000505A4">
        <w:rPr>
          <w:rFonts w:ascii="Titillium Web" w:hAnsi="Titillium Web" w:cs="Tahoma"/>
        </w:rPr>
        <w:t xml:space="preserve">One Health Basic and </w:t>
      </w:r>
      <w:proofErr w:type="spellStart"/>
      <w:r w:rsidR="000505A4" w:rsidRPr="000505A4">
        <w:rPr>
          <w:rFonts w:ascii="Titillium Web" w:hAnsi="Titillium Web" w:cs="Tahoma"/>
        </w:rPr>
        <w:t>Translational</w:t>
      </w:r>
      <w:proofErr w:type="spellEnd"/>
      <w:r w:rsidR="000505A4" w:rsidRPr="000505A4">
        <w:rPr>
          <w:rFonts w:ascii="Titillium Web" w:hAnsi="Titillium Web" w:cs="Tahoma"/>
        </w:rPr>
        <w:t xml:space="preserve"> </w:t>
      </w:r>
      <w:proofErr w:type="spellStart"/>
      <w:r w:rsidR="000505A4" w:rsidRPr="000505A4">
        <w:rPr>
          <w:rFonts w:ascii="Titillium Web" w:hAnsi="Titillium Web" w:cs="Tahoma"/>
        </w:rPr>
        <w:t>Research</w:t>
      </w:r>
      <w:proofErr w:type="spellEnd"/>
      <w:r w:rsidR="000505A4" w:rsidRPr="000505A4">
        <w:rPr>
          <w:rFonts w:ascii="Titillium Web" w:hAnsi="Titillium Web" w:cs="Tahoma"/>
        </w:rPr>
        <w:t xml:space="preserve"> Actions </w:t>
      </w:r>
      <w:proofErr w:type="spellStart"/>
      <w:r w:rsidR="000505A4" w:rsidRPr="000505A4">
        <w:rPr>
          <w:rFonts w:ascii="Titillium Web" w:hAnsi="Titillium Web" w:cs="Tahoma"/>
        </w:rPr>
        <w:t>addressing</w:t>
      </w:r>
      <w:proofErr w:type="spellEnd"/>
      <w:r w:rsidR="000505A4" w:rsidRPr="000505A4">
        <w:rPr>
          <w:rFonts w:ascii="Titillium Web" w:hAnsi="Titillium Web" w:cs="Tahoma"/>
        </w:rPr>
        <w:t xml:space="preserve"> </w:t>
      </w:r>
      <w:proofErr w:type="spellStart"/>
      <w:r w:rsidR="000505A4" w:rsidRPr="000505A4">
        <w:rPr>
          <w:rFonts w:ascii="Titillium Web" w:hAnsi="Titillium Web" w:cs="Tahoma"/>
        </w:rPr>
        <w:t>Unmet</w:t>
      </w:r>
      <w:proofErr w:type="spellEnd"/>
      <w:r w:rsidR="000505A4" w:rsidRPr="000505A4">
        <w:rPr>
          <w:rFonts w:ascii="Titillium Web" w:hAnsi="Titillium Web" w:cs="Tahoma"/>
        </w:rPr>
        <w:t xml:space="preserve"> </w:t>
      </w:r>
      <w:proofErr w:type="spellStart"/>
      <w:r w:rsidR="000505A4" w:rsidRPr="000505A4">
        <w:rPr>
          <w:rFonts w:ascii="Titillium Web" w:hAnsi="Titillium Web" w:cs="Tahoma"/>
        </w:rPr>
        <w:t>Needs</w:t>
      </w:r>
      <w:proofErr w:type="spellEnd"/>
      <w:r w:rsidR="000505A4" w:rsidRPr="000505A4">
        <w:rPr>
          <w:rFonts w:ascii="Titillium Web" w:hAnsi="Titillium Web" w:cs="Tahoma"/>
        </w:rPr>
        <w:t xml:space="preserve"> on </w:t>
      </w:r>
      <w:proofErr w:type="spellStart"/>
      <w:r w:rsidR="000505A4" w:rsidRPr="000505A4">
        <w:rPr>
          <w:rFonts w:ascii="Titillium Web" w:hAnsi="Titillium Web" w:cs="Tahoma"/>
        </w:rPr>
        <w:t>Emerging</w:t>
      </w:r>
      <w:proofErr w:type="spellEnd"/>
      <w:r w:rsidR="000505A4" w:rsidRPr="000505A4">
        <w:rPr>
          <w:rFonts w:ascii="Titillium Web" w:hAnsi="Titillium Web" w:cs="Tahoma"/>
        </w:rPr>
        <w:t xml:space="preserve"> </w:t>
      </w:r>
    </w:p>
    <w:p w14:paraId="326D441C" w14:textId="0C82B9F4" w:rsidR="000262B2" w:rsidRPr="000505A4" w:rsidRDefault="000505A4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proofErr w:type="spellStart"/>
      <w:r w:rsidRPr="000505A4">
        <w:rPr>
          <w:rFonts w:ascii="Titillium Web" w:hAnsi="Titillium Web" w:cs="Tahoma"/>
        </w:rPr>
        <w:lastRenderedPageBreak/>
        <w:t>Infectious</w:t>
      </w:r>
      <w:proofErr w:type="spellEnd"/>
      <w:r w:rsidRPr="000505A4">
        <w:rPr>
          <w:rFonts w:ascii="Titillium Web" w:hAnsi="Titillium Web" w:cs="Tahoma"/>
        </w:rPr>
        <w:t xml:space="preserve"> </w:t>
      </w:r>
      <w:proofErr w:type="spellStart"/>
      <w:r w:rsidRPr="000505A4">
        <w:rPr>
          <w:rFonts w:ascii="Titillium Web" w:hAnsi="Titillium Web" w:cs="Tahoma"/>
        </w:rPr>
        <w:t>Diseases</w:t>
      </w:r>
      <w:proofErr w:type="spellEnd"/>
      <w:r w:rsidR="00455E12" w:rsidRPr="000505A4">
        <w:rPr>
          <w:rFonts w:ascii="Titillium Web" w:hAnsi="Titillium Web" w:cs="Tahoma"/>
        </w:rPr>
        <w:t>” denominata “</w:t>
      </w:r>
      <w:r w:rsidRPr="000505A4">
        <w:rPr>
          <w:rFonts w:ascii="Titillium Web" w:hAnsi="Titillium Web" w:cs="Tahoma"/>
        </w:rPr>
        <w:t>INF-ACT</w:t>
      </w:r>
      <w:r w:rsidR="00455E12" w:rsidRPr="000505A4">
        <w:rPr>
          <w:rFonts w:ascii="Titillium Web" w:hAnsi="Titillium Web" w:cs="Tahoma"/>
        </w:rPr>
        <w:t xml:space="preserve">” contrassegnato dal codice identificativo </w:t>
      </w:r>
      <w:r w:rsidRPr="000505A4">
        <w:rPr>
          <w:rFonts w:ascii="Titillium Web" w:hAnsi="Titillium Web" w:cs="Tahoma"/>
        </w:rPr>
        <w:t>PE00000007</w:t>
      </w:r>
      <w:r w:rsidR="00455E12" w:rsidRPr="000505A4">
        <w:rPr>
          <w:rFonts w:ascii="Titillium Web" w:hAnsi="Titillium Web" w:cs="Tahoma"/>
        </w:rPr>
        <w:t>;</w:t>
      </w:r>
    </w:p>
    <w:p w14:paraId="767DEAD6" w14:textId="57196BEB" w:rsidR="000262B2" w:rsidRPr="000505A4" w:rsidRDefault="006B6EB9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0505A4">
        <w:rPr>
          <w:rFonts w:ascii="Titillium Web" w:hAnsi="Titillium Web" w:cs="Tahoma"/>
        </w:rPr>
        <w:t xml:space="preserve">- </w:t>
      </w:r>
      <w:r w:rsidR="009B09E5" w:rsidRPr="000505A4">
        <w:rPr>
          <w:rFonts w:ascii="Titillium Web" w:hAnsi="Titillium Web" w:cs="Tahoma"/>
        </w:rPr>
        <w:t>nell’ambito del Progetto</w:t>
      </w:r>
      <w:r w:rsidR="00455E12" w:rsidRPr="000505A4">
        <w:rPr>
          <w:rFonts w:ascii="Titillium Web" w:hAnsi="Titillium Web" w:cs="Tahoma"/>
        </w:rPr>
        <w:t xml:space="preserve"> “</w:t>
      </w:r>
      <w:r w:rsidR="000505A4" w:rsidRPr="000505A4">
        <w:rPr>
          <w:rFonts w:ascii="Titillium Web" w:hAnsi="Titillium Web" w:cs="Tahoma"/>
        </w:rPr>
        <w:t>INF-ACT</w:t>
      </w:r>
      <w:r w:rsidR="00455E12" w:rsidRPr="000505A4">
        <w:rPr>
          <w:rFonts w:ascii="Titillium Web" w:hAnsi="Titillium Web" w:cs="Tahoma"/>
        </w:rPr>
        <w:t>”</w:t>
      </w:r>
      <w:r w:rsidR="009B09E5" w:rsidRPr="000505A4">
        <w:rPr>
          <w:rFonts w:ascii="Titillium Web" w:hAnsi="Titillium Web" w:cs="Tahoma"/>
        </w:rPr>
        <w:t>, recante codice identificativo “</w:t>
      </w:r>
      <w:r w:rsidR="000505A4" w:rsidRPr="000505A4">
        <w:rPr>
          <w:rFonts w:ascii="Titillium Web" w:hAnsi="Titillium Web" w:cs="Tahoma"/>
        </w:rPr>
        <w:t>PE00000007</w:t>
      </w:r>
      <w:r w:rsidR="009B09E5" w:rsidRPr="000505A4">
        <w:rPr>
          <w:rFonts w:ascii="Titillium Web" w:hAnsi="Titillium Web" w:cs="Tahoma"/>
        </w:rPr>
        <w:t xml:space="preserve">”, è previsto l’acquisto di un </w:t>
      </w:r>
      <w:r w:rsidR="000505A4" w:rsidRPr="000505A4">
        <w:rPr>
          <w:rFonts w:ascii="Titillium Web" w:hAnsi="Titillium Web" w:cs="Tahoma"/>
        </w:rPr>
        <w:t>Analizzatore Cellulare Spettrale</w:t>
      </w:r>
      <w:r w:rsidR="009B09E5" w:rsidRPr="000505A4">
        <w:rPr>
          <w:rFonts w:ascii="Titillium Web" w:hAnsi="Titillium Web" w:cs="Tahoma"/>
        </w:rPr>
        <w:t xml:space="preserve">; </w:t>
      </w:r>
    </w:p>
    <w:p w14:paraId="77B276F5" w14:textId="089737CE" w:rsidR="000262B2" w:rsidRPr="00D7556E" w:rsidRDefault="000262B2" w:rsidP="00B250E1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F60AB8A" w14:textId="6318A873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con il presente Atto</w:t>
      </w:r>
    </w:p>
    <w:p w14:paraId="49D5A291" w14:textId="77777777" w:rsidR="000262B2" w:rsidRPr="00D7556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</w:rPr>
      </w:pPr>
    </w:p>
    <w:p w14:paraId="4E3BE7B3" w14:textId="77777777" w:rsidR="009A27F2" w:rsidRPr="00D7556E" w:rsidRDefault="000262B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D7556E">
        <w:rPr>
          <w:rFonts w:ascii="Titillium Web" w:hAnsi="Titillium Web" w:cs="Tahoma"/>
        </w:rPr>
        <w:t>s.m.i.</w:t>
      </w:r>
      <w:proofErr w:type="spellEnd"/>
      <w:r w:rsidRPr="00D7556E">
        <w:rPr>
          <w:rFonts w:ascii="Titillium Web" w:hAnsi="Titillium Web" w:cs="Tahoma"/>
        </w:rPr>
        <w:t xml:space="preserve">, consapevole delle sanzioni penali di cui all’art. 76 del medesimo decreto: </w:t>
      </w:r>
    </w:p>
    <w:p w14:paraId="3F94FC9B" w14:textId="0398801B" w:rsidR="000262B2" w:rsidRPr="00D7556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 xml:space="preserve">1. di avere piena conoscenza della Documentazione </w:t>
      </w:r>
      <w:r w:rsidR="00D7556E" w:rsidRPr="00D7556E">
        <w:rPr>
          <w:rFonts w:ascii="Titillium Web" w:hAnsi="Titillium Web" w:cs="Tahoma"/>
        </w:rPr>
        <w:t>acclusa all’Avviso di consultazione</w:t>
      </w:r>
      <w:r w:rsidRPr="00D7556E">
        <w:rPr>
          <w:rFonts w:ascii="Titillium Web" w:hAnsi="Titillium Web" w:cs="Tahoma"/>
        </w:rPr>
        <w:t xml:space="preserve">, di accettarne </w:t>
      </w:r>
      <w:r w:rsidR="00186455" w:rsidRPr="00D7556E">
        <w:rPr>
          <w:rFonts w:ascii="Titillium Web" w:hAnsi="Titillium Web" w:cs="Tahoma"/>
        </w:rPr>
        <w:t xml:space="preserve">e di rispettarne </w:t>
      </w:r>
      <w:r w:rsidRPr="00D7556E">
        <w:rPr>
          <w:rFonts w:ascii="Titillium Web" w:hAnsi="Titillium Web" w:cs="Tahoma"/>
        </w:rPr>
        <w:t xml:space="preserve">tutte le </w:t>
      </w:r>
      <w:r w:rsidR="00186455" w:rsidRPr="00D7556E">
        <w:rPr>
          <w:rFonts w:ascii="Titillium Web" w:hAnsi="Titillium Web" w:cs="Tahoma"/>
        </w:rPr>
        <w:t>disposizioni</w:t>
      </w:r>
      <w:r w:rsidRPr="00D7556E">
        <w:rPr>
          <w:rFonts w:ascii="Titillium Web" w:hAnsi="Titillium Web" w:cs="Tahoma"/>
        </w:rPr>
        <w:t xml:space="preserve"> ivi contenute;</w:t>
      </w:r>
    </w:p>
    <w:p w14:paraId="7008B462" w14:textId="4DDC1397" w:rsidR="002A1A37" w:rsidRPr="00D7556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  <w:r w:rsidRPr="00D7556E">
        <w:rPr>
          <w:rFonts w:ascii="Titillium Web" w:hAnsi="Titillium Web" w:cs="Tahoma"/>
        </w:rPr>
        <w:t>2. di impegnarsi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(laddove occupi un numero pari o superiore a cinquanta dipendenti</w:t>
      </w:r>
      <w:r w:rsidR="002A0854" w:rsidRPr="00D7556E">
        <w:rPr>
          <w:rFonts w:ascii="Titillium Web" w:hAnsi="Titillium Web" w:cs="Tahoma"/>
        </w:rPr>
        <w:t xml:space="preserve"> e </w:t>
      </w:r>
      <w:r w:rsidR="00CF38E2" w:rsidRPr="00D7556E">
        <w:rPr>
          <w:rFonts w:ascii="Titillium Web" w:hAnsi="Titillium Web" w:cs="Tahoma"/>
        </w:rPr>
        <w:t xml:space="preserve">sia </w:t>
      </w:r>
      <w:r w:rsidR="002A0854" w:rsidRPr="00D7556E">
        <w:rPr>
          <w:rFonts w:ascii="Titillium Web" w:hAnsi="Titillium Web" w:cs="Tahoma"/>
        </w:rPr>
        <w:t>tenuto</w:t>
      </w:r>
      <w:r w:rsidRPr="00D7556E">
        <w:rPr>
          <w:rFonts w:ascii="Titillium Web" w:hAnsi="Titillium Web" w:cs="Tahoma"/>
        </w:rPr>
        <w:t xml:space="preserve"> a redigere</w:t>
      </w:r>
      <w:r w:rsidR="002A0854" w:rsidRPr="00D7556E">
        <w:rPr>
          <w:rFonts w:ascii="Titillium Web" w:hAnsi="Titillium Web" w:cs="Tahoma"/>
        </w:rPr>
        <w:t xml:space="preserve"> </w:t>
      </w:r>
      <w:r w:rsidRPr="00D7556E">
        <w:rPr>
          <w:rFonts w:ascii="Titillium Web" w:hAnsi="Titillium Web" w:cs="Tahoma"/>
        </w:rPr>
        <w:t>il rapporto sulla situazione del personale ai sensi dell’art. 46 del decreto legislativo 11 aprile 2006</w:t>
      </w:r>
      <w:r w:rsidR="002A0854" w:rsidRPr="00D7556E">
        <w:rPr>
          <w:rFonts w:ascii="Titillium Web" w:hAnsi="Titillium Web" w:cs="Tahoma"/>
        </w:rPr>
        <w:t xml:space="preserve">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596477EE" w14:textId="0CB56986" w:rsidR="008A1394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</w:rPr>
        <w:t>3</w:t>
      </w:r>
      <w:r w:rsidR="008A1394" w:rsidRPr="00D7556E">
        <w:rPr>
          <w:rFonts w:ascii="Titillium Web" w:hAnsi="Titillium Web" w:cs="Tahoma"/>
        </w:rPr>
        <w:t xml:space="preserve">. </w:t>
      </w:r>
      <w:r w:rsidR="00186455" w:rsidRPr="00D7556E">
        <w:rPr>
          <w:rFonts w:ascii="Titillium Web" w:hAnsi="Titillium Web" w:cs="Tahoma"/>
        </w:rPr>
        <w:t xml:space="preserve">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="00186455" w:rsidRPr="00D7556E">
        <w:rPr>
          <w:rFonts w:ascii="Titillium Web" w:hAnsi="Titillium Web" w:cs="Tahoma"/>
          <w:iCs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D7556E">
        <w:rPr>
          <w:rFonts w:ascii="Titillium Web" w:hAnsi="Titillium Web" w:cs="Tahoma"/>
          <w:iCs/>
        </w:rPr>
        <w:t xml:space="preserve">, pena l’applicazione delle penali di cui all’articolo 47, comma 6 del </w:t>
      </w:r>
      <w:proofErr w:type="gramStart"/>
      <w:r w:rsidR="00C044E9" w:rsidRPr="00D7556E">
        <w:rPr>
          <w:rFonts w:ascii="Titillium Web" w:hAnsi="Titillium Web" w:cs="Tahoma"/>
          <w:iCs/>
        </w:rPr>
        <w:t>decreto legge</w:t>
      </w:r>
      <w:proofErr w:type="gramEnd"/>
      <w:r w:rsidR="00C044E9" w:rsidRPr="00D7556E">
        <w:rPr>
          <w:rFonts w:ascii="Titillium Web" w:hAnsi="Titillium Web" w:cs="Tahoma"/>
          <w:iCs/>
        </w:rPr>
        <w:t xml:space="preserve"> 31 maggio 2021 n. 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7E20C7D3" w14:textId="22A71A55" w:rsidR="002A1A37" w:rsidRPr="00D7556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4</w:t>
      </w:r>
      <w:r w:rsidR="002A1A37" w:rsidRPr="00D7556E">
        <w:rPr>
          <w:rFonts w:ascii="Titillium Web" w:hAnsi="Titillium Web" w:cs="Tahoma"/>
          <w:iCs/>
        </w:rPr>
        <w:t xml:space="preserve">. di impegnarsi </w:t>
      </w:r>
      <w:bookmarkStart w:id="0" w:name="_Hlk132361389"/>
      <w:r w:rsidR="002A1A37" w:rsidRPr="00D7556E">
        <w:rPr>
          <w:rFonts w:ascii="Titillium Web" w:hAnsi="Titillium Web" w:cs="Tahoma"/>
          <w:iCs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0"/>
      <w:r w:rsidR="00C044E9" w:rsidRPr="00D7556E">
        <w:rPr>
          <w:rFonts w:ascii="Titillium Web" w:hAnsi="Titillium Web" w:cs="Tahoma"/>
          <w:iCs/>
        </w:rPr>
        <w:t xml:space="preserve">, pena l’applicazione delle penali di cui all’art. 47, comma 6, del </w:t>
      </w:r>
      <w:proofErr w:type="gramStart"/>
      <w:r w:rsidR="00C044E9" w:rsidRPr="00D7556E">
        <w:rPr>
          <w:rFonts w:ascii="Titillium Web" w:hAnsi="Titillium Web" w:cs="Tahoma"/>
          <w:iCs/>
        </w:rPr>
        <w:t>decreto legge</w:t>
      </w:r>
      <w:proofErr w:type="gramEnd"/>
      <w:r w:rsidR="00C044E9" w:rsidRPr="00D7556E">
        <w:rPr>
          <w:rFonts w:ascii="Titillium Web" w:hAnsi="Titillium Web" w:cs="Tahoma"/>
          <w:iCs/>
        </w:rPr>
        <w:t xml:space="preserve"> 31 maggio 2021 n.77, convertito con modificazioni dalla legge 29 luglio 2021 n. 108</w:t>
      </w:r>
      <w:r w:rsidR="002A1A37" w:rsidRPr="00D7556E">
        <w:rPr>
          <w:rFonts w:ascii="Titillium Web" w:hAnsi="Titillium Web" w:cs="Tahoma"/>
          <w:iCs/>
        </w:rPr>
        <w:t>;</w:t>
      </w:r>
    </w:p>
    <w:p w14:paraId="26CB527B" w14:textId="77777777" w:rsidR="00D7556E" w:rsidRPr="00D7556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5. di impegnarsi (nel caso di aggiudicazione in suo favore della procedura di gara) ad assicurare</w:t>
      </w:r>
      <w:r w:rsidR="00D7556E" w:rsidRPr="00D7556E">
        <w:rPr>
          <w:rFonts w:ascii="Titillium Web" w:hAnsi="Titillium Web" w:cs="Tahoma"/>
          <w:iCs/>
        </w:rPr>
        <w:t xml:space="preserve">: </w:t>
      </w:r>
    </w:p>
    <w:p w14:paraId="3757CA75" w14:textId="4D5090AE" w:rsidR="00D7556E" w:rsidRPr="00D7556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D7556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 xml:space="preserve">- una quota pari al </w:t>
      </w:r>
      <w:r w:rsidR="00B5666E" w:rsidRPr="00B5666E">
        <w:rPr>
          <w:rFonts w:ascii="Titillium Web" w:hAnsi="Titillium Web" w:cs="Tahoma"/>
          <w:iCs/>
        </w:rPr>
        <w:t>3</w:t>
      </w:r>
      <w:r w:rsidRPr="00B5666E">
        <w:rPr>
          <w:rFonts w:ascii="Titillium Web" w:hAnsi="Titillium Web" w:cs="Tahoma"/>
          <w:iCs/>
        </w:rPr>
        <w:t>0%</w:t>
      </w:r>
      <w:r w:rsidRPr="00D7556E">
        <w:rPr>
          <w:rFonts w:ascii="Titillium Web" w:hAnsi="Titillium Web" w:cs="Tahoma"/>
          <w:iCs/>
        </w:rPr>
        <w:t xml:space="preserve"> delle assunzioni necessarie per l’esecuzione del contratto o per la realizzazione di attività ad esso connesse o strumentali all’occupazione femminile.</w:t>
      </w:r>
    </w:p>
    <w:p w14:paraId="4ACE6736" w14:textId="13191B12" w:rsidR="002A1A37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 w:rsidRPr="00D7556E">
        <w:rPr>
          <w:rFonts w:ascii="Titillium Web" w:hAnsi="Titillium Web" w:cs="Tahoma"/>
          <w:iCs/>
        </w:rPr>
        <w:t>6</w:t>
      </w:r>
      <w:r w:rsidR="002A1A37" w:rsidRPr="00D7556E">
        <w:rPr>
          <w:rFonts w:ascii="Titillium Web" w:hAnsi="Titillium Web" w:cs="Tahoma"/>
          <w:iCs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D7556E">
        <w:rPr>
          <w:rFonts w:ascii="Titillium Web" w:hAnsi="Titillium Web" w:cs="Tahoma"/>
          <w:iCs/>
        </w:rPr>
        <w:t>Significant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 </w:t>
      </w:r>
      <w:proofErr w:type="spellStart"/>
      <w:r w:rsidR="002A1A37" w:rsidRPr="00D7556E">
        <w:rPr>
          <w:rFonts w:ascii="Titillium Web" w:hAnsi="Titillium Web" w:cs="Tahoma"/>
          <w:iCs/>
        </w:rPr>
        <w:t>Harm</w:t>
      </w:r>
      <w:proofErr w:type="spellEnd"/>
      <w:r w:rsidR="002A1A37" w:rsidRPr="00D7556E">
        <w:rPr>
          <w:rFonts w:ascii="Titillium Web" w:hAnsi="Titillium Web" w:cs="Tahoma"/>
          <w:iCs/>
        </w:rPr>
        <w:t xml:space="preserve">” (DNSH) ai sensi dell'articolo 17 del Regolamento (UE) 2020/852 del Parlamento europeo e del Consiglio del 18 giugno 2020, nonché </w:t>
      </w:r>
      <w:r w:rsidR="00CF38E2" w:rsidRPr="00D7556E">
        <w:rPr>
          <w:rFonts w:ascii="Titillium Web" w:hAnsi="Titillium Web" w:cs="Tahoma"/>
          <w:iCs/>
        </w:rPr>
        <w:t>in riferimento alla</w:t>
      </w:r>
      <w:r w:rsidRPr="00D7556E">
        <w:rPr>
          <w:rFonts w:ascii="Titillium Web" w:hAnsi="Titillium Web" w:cs="Tahoma"/>
          <w:iCs/>
        </w:rPr>
        <w:t xml:space="preserve"> “Guida operativa” di cui alla Circolare MEF del 30 dicembre 2021, n. 32. </w:t>
      </w:r>
    </w:p>
    <w:p w14:paraId="292D64E2" w14:textId="77777777" w:rsidR="00686D9F" w:rsidRPr="00D7556E" w:rsidRDefault="00686D9F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39B38CDD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1CB04F65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3BB73A20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BA059D3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72A8B35B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05C89294" w14:textId="77777777" w:rsidR="00CF38E2" w:rsidRPr="00D7556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605F80CD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_____, il ____________</w:t>
      </w:r>
    </w:p>
    <w:p w14:paraId="4ADD1AC7" w14:textId="77777777" w:rsidR="00CF38E2" w:rsidRPr="00D7556E" w:rsidRDefault="00CF38E2" w:rsidP="00CF38E2">
      <w:pPr>
        <w:pStyle w:val="Default"/>
        <w:ind w:right="140"/>
        <w:jc w:val="both"/>
        <w:rPr>
          <w:rFonts w:ascii="Titillium Web" w:hAnsi="Titillium Web"/>
          <w:iCs/>
        </w:rPr>
      </w:pPr>
    </w:p>
    <w:p w14:paraId="1F592A1F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FIRMATARIO</w:t>
      </w:r>
    </w:p>
    <w:p w14:paraId="3AB1BB55" w14:textId="77777777" w:rsidR="00CF38E2" w:rsidRPr="00D7556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___________</w:t>
      </w:r>
    </w:p>
    <w:p w14:paraId="4F6C7E13" w14:textId="77777777" w:rsidR="00CF38E2" w:rsidRPr="00BC43B1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 w:rsidRPr="00D7556E">
        <w:rPr>
          <w:rFonts w:ascii="Titillium Web" w:hAnsi="Titillium Web"/>
          <w:iCs/>
        </w:rPr>
        <w:t>firmato digitalmente</w:t>
      </w:r>
    </w:p>
    <w:p w14:paraId="30D116AC" w14:textId="77777777" w:rsidR="00CF38E2" w:rsidRPr="008A1394" w:rsidRDefault="00CF38E2" w:rsidP="008A1394">
      <w:pPr>
        <w:tabs>
          <w:tab w:val="left" w:pos="8136"/>
        </w:tabs>
        <w:jc w:val="both"/>
        <w:rPr>
          <w:rFonts w:ascii="Titillium Web" w:hAnsi="Titillium Web" w:cs="Tahoma"/>
        </w:rPr>
      </w:pPr>
    </w:p>
    <w:sectPr w:rsidR="00CF38E2" w:rsidRPr="008A13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AFA6" w14:textId="77777777" w:rsidR="00414772" w:rsidRDefault="00414772" w:rsidP="00AC4A5E">
      <w:r>
        <w:separator/>
      </w:r>
    </w:p>
  </w:endnote>
  <w:endnote w:type="continuationSeparator" w:id="0">
    <w:p w14:paraId="1AAD32D4" w14:textId="77777777" w:rsidR="00414772" w:rsidRDefault="00414772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,Bold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680948"/>
      <w:docPartObj>
        <w:docPartGallery w:val="Page Numbers (Bottom of Page)"/>
        <w:docPartUnique/>
      </w:docPartObj>
    </w:sdtPr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B425" w14:textId="77777777" w:rsidR="00414772" w:rsidRDefault="00414772" w:rsidP="00AC4A5E">
      <w:r>
        <w:separator/>
      </w:r>
    </w:p>
  </w:footnote>
  <w:footnote w:type="continuationSeparator" w:id="0">
    <w:p w14:paraId="2644F1A4" w14:textId="77777777" w:rsidR="00414772" w:rsidRDefault="00414772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87BB" w14:textId="7128AA32" w:rsidR="00544A1B" w:rsidRDefault="00544A1B">
    <w:pPr>
      <w:pStyle w:val="Intestazione"/>
    </w:pPr>
    <w:r w:rsidRPr="00D7380E">
      <w:rPr>
        <w:rFonts w:ascii="Titillium Web" w:hAnsi="Titillium Web"/>
        <w:noProof/>
      </w:rPr>
      <w:drawing>
        <wp:inline distT="0" distB="0" distL="0" distR="0" wp14:anchorId="4016404B" wp14:editId="645DBC55">
          <wp:extent cx="6120130" cy="594300"/>
          <wp:effectExtent l="0" t="0" r="0" b="0"/>
          <wp:docPr id="297142072" name="Immagine 297142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9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505A4"/>
    <w:rsid w:val="000A405D"/>
    <w:rsid w:val="000C2120"/>
    <w:rsid w:val="00130C0C"/>
    <w:rsid w:val="00186455"/>
    <w:rsid w:val="002A0854"/>
    <w:rsid w:val="002A1A37"/>
    <w:rsid w:val="003205CD"/>
    <w:rsid w:val="00353A15"/>
    <w:rsid w:val="003560A5"/>
    <w:rsid w:val="00357017"/>
    <w:rsid w:val="00373F26"/>
    <w:rsid w:val="0039208B"/>
    <w:rsid w:val="00414772"/>
    <w:rsid w:val="00455E12"/>
    <w:rsid w:val="004C3F7A"/>
    <w:rsid w:val="00503EE8"/>
    <w:rsid w:val="00544A1B"/>
    <w:rsid w:val="0056278F"/>
    <w:rsid w:val="005E571B"/>
    <w:rsid w:val="00686D9F"/>
    <w:rsid w:val="006A301A"/>
    <w:rsid w:val="006A70E1"/>
    <w:rsid w:val="006B6EB9"/>
    <w:rsid w:val="006E25EB"/>
    <w:rsid w:val="00747F2B"/>
    <w:rsid w:val="007513B8"/>
    <w:rsid w:val="00884C7E"/>
    <w:rsid w:val="008A1394"/>
    <w:rsid w:val="008D7F9B"/>
    <w:rsid w:val="0090153D"/>
    <w:rsid w:val="00911A25"/>
    <w:rsid w:val="009218BB"/>
    <w:rsid w:val="00951EBF"/>
    <w:rsid w:val="009A27F2"/>
    <w:rsid w:val="009A3EE9"/>
    <w:rsid w:val="009B09E5"/>
    <w:rsid w:val="009F5E2D"/>
    <w:rsid w:val="00A3666E"/>
    <w:rsid w:val="00AC4A5E"/>
    <w:rsid w:val="00B250E1"/>
    <w:rsid w:val="00B5666E"/>
    <w:rsid w:val="00C044E9"/>
    <w:rsid w:val="00C167B8"/>
    <w:rsid w:val="00CE6972"/>
    <w:rsid w:val="00CF38E2"/>
    <w:rsid w:val="00D23DCD"/>
    <w:rsid w:val="00D7556E"/>
    <w:rsid w:val="00D80B38"/>
    <w:rsid w:val="00D8158D"/>
    <w:rsid w:val="00E63145"/>
    <w:rsid w:val="00F6227E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Anica Pariota</cp:lastModifiedBy>
  <cp:revision>5</cp:revision>
  <cp:lastPrinted>2023-07-27T10:35:00Z</cp:lastPrinted>
  <dcterms:created xsi:type="dcterms:W3CDTF">2023-10-27T13:22:00Z</dcterms:created>
  <dcterms:modified xsi:type="dcterms:W3CDTF">2024-01-30T15:19:00Z</dcterms:modified>
</cp:coreProperties>
</file>